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0AA43" w14:textId="425ECBC8" w:rsidR="001B4265" w:rsidRPr="00552AC1" w:rsidRDefault="001B4265" w:rsidP="008A5447">
      <w:pPr>
        <w:jc w:val="center"/>
        <w:outlineLvl w:val="1"/>
        <w:rPr>
          <w:sz w:val="28"/>
          <w:szCs w:val="28"/>
        </w:rPr>
      </w:pPr>
      <w:r w:rsidRPr="00552AC1">
        <w:rPr>
          <w:sz w:val="28"/>
          <w:szCs w:val="28"/>
        </w:rPr>
        <w:t>Порядок подачи заявок на участие в открытом аукционе</w:t>
      </w:r>
      <w:r w:rsidR="008A5447">
        <w:rPr>
          <w:sz w:val="28"/>
          <w:szCs w:val="28"/>
        </w:rPr>
        <w:t>.</w:t>
      </w:r>
    </w:p>
    <w:p w14:paraId="4A5082CE" w14:textId="77777777" w:rsidR="001B4265" w:rsidRPr="00552AC1" w:rsidRDefault="001B4265" w:rsidP="001B4265">
      <w:pPr>
        <w:ind w:firstLine="567"/>
        <w:jc w:val="both"/>
        <w:rPr>
          <w:sz w:val="28"/>
          <w:szCs w:val="28"/>
        </w:rPr>
      </w:pPr>
    </w:p>
    <w:p w14:paraId="58EE3AAA" w14:textId="77777777" w:rsidR="001B4265" w:rsidRPr="00552AC1" w:rsidRDefault="001B4265" w:rsidP="001B4265">
      <w:pPr>
        <w:ind w:firstLine="567"/>
        <w:jc w:val="both"/>
        <w:rPr>
          <w:sz w:val="28"/>
          <w:szCs w:val="28"/>
        </w:rPr>
      </w:pPr>
      <w:r w:rsidRPr="00552AC1">
        <w:rPr>
          <w:sz w:val="28"/>
          <w:szCs w:val="28"/>
        </w:rPr>
        <w:t>1.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464D8092" w14:textId="77777777" w:rsidR="001B4265" w:rsidRPr="00552AC1" w:rsidRDefault="001B4265" w:rsidP="001B4265">
      <w:pPr>
        <w:ind w:firstLine="567"/>
        <w:jc w:val="both"/>
        <w:rPr>
          <w:sz w:val="28"/>
          <w:szCs w:val="28"/>
        </w:rPr>
      </w:pPr>
      <w:r w:rsidRPr="00552AC1">
        <w:rPr>
          <w:sz w:val="28"/>
          <w:szCs w:val="28"/>
        </w:rPr>
        <w:t>2. Участник открытого аукциона подает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об открытом аукционе).</w:t>
      </w:r>
    </w:p>
    <w:p w14:paraId="264A41B3" w14:textId="77777777" w:rsidR="001B4265" w:rsidRPr="00552AC1" w:rsidRDefault="001B4265" w:rsidP="001B4265">
      <w:pPr>
        <w:ind w:firstLine="567"/>
        <w:jc w:val="both"/>
        <w:rPr>
          <w:sz w:val="28"/>
          <w:szCs w:val="28"/>
        </w:rPr>
      </w:pPr>
      <w:r w:rsidRPr="00552AC1">
        <w:rPr>
          <w:sz w:val="28"/>
          <w:szCs w:val="28"/>
        </w:rPr>
        <w:t>3. Заявка на участие в открытом аукционе должна содержать:</w:t>
      </w:r>
    </w:p>
    <w:p w14:paraId="09C72FA5" w14:textId="77777777" w:rsidR="001B4265" w:rsidRPr="00552AC1" w:rsidRDefault="001B4265" w:rsidP="001B4265">
      <w:pPr>
        <w:ind w:firstLine="567"/>
        <w:jc w:val="both"/>
        <w:rPr>
          <w:sz w:val="28"/>
          <w:szCs w:val="28"/>
        </w:rPr>
      </w:pPr>
      <w:r w:rsidRPr="00552AC1">
        <w:rPr>
          <w:sz w:val="28"/>
          <w:szCs w:val="28"/>
        </w:rPr>
        <w:t>а) информацию и документы об участнике открытого аукциона, подавшем такую заявку:</w:t>
      </w:r>
    </w:p>
    <w:p w14:paraId="397B8896" w14:textId="77777777" w:rsidR="001B4265" w:rsidRPr="00552AC1" w:rsidRDefault="001B4265" w:rsidP="001B4265">
      <w:pPr>
        <w:ind w:firstLine="567"/>
        <w:jc w:val="both"/>
        <w:rPr>
          <w:sz w:val="28"/>
          <w:szCs w:val="28"/>
        </w:rPr>
      </w:pPr>
      <w:r w:rsidRPr="00552AC1">
        <w:rPr>
          <w:sz w:val="28"/>
          <w:szCs w:val="28"/>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5333AC72" w14:textId="77777777" w:rsidR="001B4265" w:rsidRPr="00552AC1" w:rsidRDefault="001B4265" w:rsidP="001B4265">
      <w:pPr>
        <w:ind w:firstLine="567"/>
        <w:jc w:val="both"/>
        <w:rPr>
          <w:sz w:val="28"/>
          <w:szCs w:val="28"/>
        </w:rPr>
      </w:pPr>
      <w:r w:rsidRPr="00552AC1">
        <w:rPr>
          <w:sz w:val="28"/>
          <w:szCs w:val="28"/>
        </w:rPr>
        <w:t xml:space="preserve">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w:t>
      </w:r>
      <w:r w:rsidRPr="00552AC1">
        <w:rPr>
          <w:sz w:val="28"/>
          <w:szCs w:val="28"/>
        </w:rPr>
        <w:br/>
        <w:t>на применение упрощенной системы налогообложения (для индивидуального предпринимателя, применяющего упрощенную систему налогообложения), за исключением случая, предусмотренного частью второй настоящего подпункта.</w:t>
      </w:r>
    </w:p>
    <w:p w14:paraId="006B75F9" w14:textId="77777777" w:rsidR="001B4265" w:rsidRDefault="001B4265" w:rsidP="001B4265">
      <w:pPr>
        <w:ind w:firstLine="567"/>
        <w:jc w:val="both"/>
        <w:rPr>
          <w:sz w:val="28"/>
          <w:szCs w:val="28"/>
        </w:rPr>
      </w:pPr>
      <w:r w:rsidRPr="003409DD">
        <w:rPr>
          <w:sz w:val="28"/>
          <w:szCs w:val="28"/>
        </w:rPr>
        <w:t>В случае если заказчик обладает доступом к соответствующим электронным базам данных, требование о предоставлении документов, указанных в части первой настоящего подпункта, не применяется и данные документы участниками открытого аукциона не предоставляются.</w:t>
      </w:r>
    </w:p>
    <w:p w14:paraId="35997BCB" w14:textId="77777777" w:rsidR="001B4265" w:rsidRPr="00552AC1" w:rsidRDefault="001B4265" w:rsidP="001B4265">
      <w:pPr>
        <w:ind w:firstLine="567"/>
        <w:jc w:val="both"/>
        <w:rPr>
          <w:sz w:val="28"/>
          <w:szCs w:val="28"/>
        </w:rPr>
      </w:pPr>
      <w:r w:rsidRPr="00552AC1">
        <w:rPr>
          <w:sz w:val="28"/>
          <w:szCs w:val="28"/>
        </w:rPr>
        <w:t>3) документ, подтверждающий полномочия лица на осуществление действий от имени участника открытого аукциона;</w:t>
      </w:r>
    </w:p>
    <w:p w14:paraId="5C2EE646" w14:textId="77777777" w:rsidR="001B4265" w:rsidRPr="00552AC1" w:rsidRDefault="001B4265" w:rsidP="001B4265">
      <w:pPr>
        <w:ind w:firstLine="567"/>
        <w:jc w:val="both"/>
        <w:rPr>
          <w:sz w:val="28"/>
          <w:szCs w:val="28"/>
        </w:rPr>
      </w:pPr>
      <w:r w:rsidRPr="00552AC1">
        <w:rPr>
          <w:sz w:val="28"/>
          <w:szCs w:val="28"/>
        </w:rPr>
        <w:t>4) копии учредительных документов участника открытого аукциона (для юридического лица), за исключением случая, предусмотренного частью второй настоящего подпункта.</w:t>
      </w:r>
    </w:p>
    <w:p w14:paraId="0E44F455" w14:textId="77777777" w:rsidR="001B4265" w:rsidRPr="00552AC1" w:rsidRDefault="001B4265" w:rsidP="001B4265">
      <w:pPr>
        <w:ind w:firstLine="567"/>
        <w:jc w:val="both"/>
        <w:rPr>
          <w:sz w:val="28"/>
          <w:szCs w:val="28"/>
        </w:rPr>
      </w:pPr>
      <w:r w:rsidRPr="00552AC1">
        <w:rPr>
          <w:sz w:val="28"/>
          <w:szCs w:val="28"/>
        </w:rPr>
        <w:t>Документы, указанные в части первой настоящего подпункта, не предоставляются в случае, если заказчик обладает доступом к соответствующим электронным базам данных;</w:t>
      </w:r>
    </w:p>
    <w:p w14:paraId="065E1FBF" w14:textId="77777777" w:rsidR="001B4265" w:rsidRPr="00552AC1" w:rsidRDefault="001B4265" w:rsidP="001B4265">
      <w:pPr>
        <w:ind w:firstLine="567"/>
        <w:jc w:val="both"/>
        <w:rPr>
          <w:sz w:val="28"/>
          <w:szCs w:val="28"/>
        </w:rPr>
      </w:pPr>
      <w:r w:rsidRPr="00552AC1">
        <w:rPr>
          <w:sz w:val="28"/>
          <w:szCs w:val="28"/>
        </w:rPr>
        <w:t xml:space="preserve">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w:t>
      </w:r>
      <w:r w:rsidRPr="00552AC1">
        <w:rPr>
          <w:sz w:val="28"/>
          <w:szCs w:val="28"/>
        </w:rPr>
        <w:lastRenderedPageBreak/>
        <w:t>соответствии с действующим законодательством Приднестровской Молдавской Республики;</w:t>
      </w:r>
    </w:p>
    <w:p w14:paraId="63F4A512" w14:textId="77777777" w:rsidR="001B4265" w:rsidRDefault="001B4265" w:rsidP="001B4265">
      <w:pPr>
        <w:ind w:firstLine="567"/>
        <w:jc w:val="both"/>
        <w:rPr>
          <w:sz w:val="28"/>
          <w:szCs w:val="28"/>
        </w:rPr>
      </w:pPr>
      <w:r w:rsidRPr="00552AC1">
        <w:rPr>
          <w:sz w:val="28"/>
          <w:szCs w:val="28"/>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r>
        <w:rPr>
          <w:sz w:val="28"/>
          <w:szCs w:val="28"/>
        </w:rPr>
        <w:t>.</w:t>
      </w:r>
    </w:p>
    <w:p w14:paraId="3B6D96B4" w14:textId="77777777" w:rsidR="001B4265" w:rsidRPr="00FD7945" w:rsidRDefault="001B4265" w:rsidP="001B4265">
      <w:pPr>
        <w:ind w:firstLine="567"/>
        <w:jc w:val="both"/>
        <w:rPr>
          <w:sz w:val="28"/>
        </w:rPr>
      </w:pPr>
      <w:r w:rsidRPr="00FD7945">
        <w:rPr>
          <w:rFonts w:eastAsia="Calibri"/>
          <w:sz w:val="28"/>
        </w:rPr>
        <w:t>В случае если документы, подтверждающие соответствие объекта закупки требованиям, установленным документацией об открытом аукционе,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
    <w:p w14:paraId="763B5832" w14:textId="77777777" w:rsidR="001B4265" w:rsidRPr="00552AC1" w:rsidRDefault="001B4265" w:rsidP="001B4265">
      <w:pPr>
        <w:ind w:firstLine="567"/>
        <w:jc w:val="both"/>
        <w:rPr>
          <w:sz w:val="28"/>
          <w:szCs w:val="28"/>
        </w:rPr>
      </w:pPr>
      <w:r w:rsidRPr="00552AC1">
        <w:rPr>
          <w:sz w:val="28"/>
          <w:szCs w:val="28"/>
        </w:rPr>
        <w:t>в) документы, подтверждающие соответствие участника открытого аукциона требованиям, установленным документацией об открытом аукционе;</w:t>
      </w:r>
    </w:p>
    <w:p w14:paraId="5DB36A14" w14:textId="77777777" w:rsidR="001B4265" w:rsidRPr="00552AC1" w:rsidRDefault="001B4265" w:rsidP="001B4265">
      <w:pPr>
        <w:ind w:firstLine="567"/>
        <w:jc w:val="both"/>
        <w:rPr>
          <w:sz w:val="28"/>
          <w:szCs w:val="28"/>
        </w:rPr>
      </w:pPr>
      <w:r w:rsidRPr="00552AC1">
        <w:rPr>
          <w:sz w:val="28"/>
          <w:szCs w:val="28"/>
        </w:rPr>
        <w:t>г) документы, подтверждающие право участника открытого аукциона на получение преимуществ в соответствии с настоящим Законом, или копии этих документов.</w:t>
      </w:r>
    </w:p>
    <w:p w14:paraId="46F95B1B" w14:textId="77777777" w:rsidR="001B4265" w:rsidRPr="00552AC1" w:rsidRDefault="001B4265" w:rsidP="001B4265">
      <w:pPr>
        <w:ind w:firstLine="567"/>
        <w:jc w:val="both"/>
        <w:rPr>
          <w:sz w:val="28"/>
          <w:szCs w:val="28"/>
        </w:rPr>
      </w:pPr>
      <w:r w:rsidRPr="00552AC1">
        <w:rPr>
          <w:sz w:val="28"/>
          <w:szCs w:val="28"/>
        </w:rPr>
        <w:t xml:space="preserve">4. Требовать от участника открытого аукциона предоставления иных документов и информации, за исключением предусмотренных </w:t>
      </w:r>
      <w:hyperlink r:id="rId4" w:anchor="Par1788" w:tooltip="2. Заявка на участие в закрытом аукционе должна содержать:" w:history="1">
        <w:r w:rsidRPr="00552AC1">
          <w:rPr>
            <w:rStyle w:val="a6"/>
            <w:sz w:val="28"/>
            <w:szCs w:val="28"/>
          </w:rPr>
          <w:t>пунктом</w:t>
        </w:r>
      </w:hyperlink>
      <w:r w:rsidRPr="00552AC1">
        <w:rPr>
          <w:sz w:val="28"/>
          <w:szCs w:val="28"/>
        </w:rPr>
        <w:t xml:space="preserve"> 3 настоящей статьи документов и информации, не допускается.</w:t>
      </w:r>
    </w:p>
    <w:p w14:paraId="6728EC7A" w14:textId="77777777" w:rsidR="001B4265" w:rsidRPr="00552AC1" w:rsidRDefault="001B4265" w:rsidP="001B4265">
      <w:pPr>
        <w:ind w:firstLine="567"/>
        <w:jc w:val="both"/>
        <w:rPr>
          <w:sz w:val="28"/>
          <w:szCs w:val="28"/>
        </w:rPr>
      </w:pPr>
      <w:r w:rsidRPr="00552AC1">
        <w:rPr>
          <w:sz w:val="28"/>
          <w:szCs w:val="28"/>
        </w:rPr>
        <w:t>5. В случае установления недостоверности информации, содержащейся в документах, представленных участником открытого аукциона, комиссия по осуществлению закупок обязана отстранить такого участника от участия в открытом аукционе на любом этапе его проведения.</w:t>
      </w:r>
    </w:p>
    <w:p w14:paraId="28050413" w14:textId="77777777" w:rsidR="001B4265" w:rsidRPr="00552AC1" w:rsidRDefault="001B4265" w:rsidP="001B4265">
      <w:pPr>
        <w:ind w:firstLine="567"/>
        <w:jc w:val="both"/>
        <w:rPr>
          <w:sz w:val="28"/>
          <w:szCs w:val="28"/>
        </w:rPr>
      </w:pPr>
      <w:r w:rsidRPr="00552AC1">
        <w:rPr>
          <w:sz w:val="28"/>
          <w:szCs w:val="28"/>
        </w:rPr>
        <w:t>6. Все листы поданной в письменной форме заявки на участие в открытом аукционе, все листы тома такой заявки должны быть прошиты и пронумерованы.</w:t>
      </w:r>
    </w:p>
    <w:p w14:paraId="637A1B20" w14:textId="77777777" w:rsidR="001B4265" w:rsidRPr="00552AC1" w:rsidRDefault="001B4265" w:rsidP="001B4265">
      <w:pPr>
        <w:ind w:firstLine="567"/>
        <w:jc w:val="both"/>
        <w:rPr>
          <w:sz w:val="28"/>
          <w:szCs w:val="28"/>
        </w:rPr>
      </w:pPr>
      <w:r w:rsidRPr="00552AC1">
        <w:rPr>
          <w:sz w:val="28"/>
          <w:szCs w:val="28"/>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5E6F8CBD" w14:textId="77777777" w:rsidR="001B4265" w:rsidRPr="00552AC1" w:rsidRDefault="001B4265" w:rsidP="001B4265">
      <w:pPr>
        <w:ind w:firstLine="567"/>
        <w:jc w:val="both"/>
        <w:rPr>
          <w:sz w:val="28"/>
          <w:szCs w:val="28"/>
        </w:rPr>
      </w:pPr>
      <w:r w:rsidRPr="00552AC1">
        <w:rPr>
          <w:sz w:val="28"/>
          <w:szCs w:val="28"/>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787720FF" w14:textId="77777777" w:rsidR="001B4265" w:rsidRPr="00552AC1" w:rsidRDefault="001B4265" w:rsidP="001B4265">
      <w:pPr>
        <w:ind w:firstLine="567"/>
        <w:jc w:val="both"/>
        <w:rPr>
          <w:sz w:val="28"/>
          <w:szCs w:val="28"/>
        </w:rPr>
      </w:pPr>
      <w:r w:rsidRPr="00552AC1">
        <w:rPr>
          <w:sz w:val="28"/>
          <w:szCs w:val="28"/>
        </w:rPr>
        <w:t>Не допускается устанавливать иные требования к оформлению заявки на участие в открытом аукционе, за исключением предусмотренных настоящим пунктом требований к оформлению такой заявки.</w:t>
      </w:r>
    </w:p>
    <w:p w14:paraId="0D39DDE3" w14:textId="77777777" w:rsidR="001B4265" w:rsidRPr="00552AC1" w:rsidRDefault="001B4265" w:rsidP="001B4265">
      <w:pPr>
        <w:ind w:firstLine="567"/>
        <w:jc w:val="both"/>
        <w:rPr>
          <w:sz w:val="28"/>
          <w:szCs w:val="28"/>
        </w:rPr>
      </w:pPr>
      <w:r w:rsidRPr="00552AC1">
        <w:rPr>
          <w:sz w:val="28"/>
          <w:szCs w:val="28"/>
        </w:rPr>
        <w:t>7. Участник открытого аукциона вправе подать только одну заявку на участие в открытом аукционе в отношении каждого объекта закупки.</w:t>
      </w:r>
    </w:p>
    <w:p w14:paraId="0001FBB3" w14:textId="77777777" w:rsidR="001B4265" w:rsidRPr="00552AC1" w:rsidRDefault="001B4265" w:rsidP="001B4265">
      <w:pPr>
        <w:ind w:firstLine="567"/>
        <w:jc w:val="both"/>
        <w:rPr>
          <w:sz w:val="28"/>
          <w:szCs w:val="28"/>
        </w:rPr>
      </w:pPr>
      <w:r w:rsidRPr="00552AC1">
        <w:rPr>
          <w:sz w:val="28"/>
          <w:szCs w:val="28"/>
        </w:rPr>
        <w:t>8. 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w:t>
      </w:r>
    </w:p>
    <w:p w14:paraId="6721B846" w14:textId="77777777" w:rsidR="001B4265" w:rsidRPr="00552AC1" w:rsidRDefault="001B4265" w:rsidP="001B4265">
      <w:pPr>
        <w:ind w:firstLine="567"/>
        <w:jc w:val="both"/>
        <w:rPr>
          <w:sz w:val="28"/>
          <w:szCs w:val="28"/>
        </w:rPr>
      </w:pPr>
      <w:r w:rsidRPr="00552AC1">
        <w:rPr>
          <w:sz w:val="28"/>
          <w:szCs w:val="28"/>
        </w:rPr>
        <w:t xml:space="preserve">9. Каждая заявка, поступившая в срок, указанный в документации об открытом аукционе, регистрируется заказчиком. По требованию участника </w:t>
      </w:r>
      <w:r w:rsidRPr="00552AC1">
        <w:rPr>
          <w:sz w:val="28"/>
          <w:szCs w:val="28"/>
        </w:rPr>
        <w:lastRenderedPageBreak/>
        <w:t>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13A742C1" w14:textId="77777777" w:rsidR="001B4265" w:rsidRPr="00552AC1" w:rsidRDefault="001B4265" w:rsidP="001B4265">
      <w:pPr>
        <w:ind w:firstLine="567"/>
        <w:jc w:val="both"/>
        <w:rPr>
          <w:sz w:val="28"/>
          <w:szCs w:val="28"/>
        </w:rPr>
      </w:pPr>
      <w:r w:rsidRPr="00552AC1">
        <w:rPr>
          <w:sz w:val="28"/>
          <w:szCs w:val="28"/>
        </w:rPr>
        <w:t>10. Заявки на участие в открытом аукционе не рассматриваются и в тот же день возвращаются участникам открытого аукциона, подавшим такие заявки, в случае если:</w:t>
      </w:r>
    </w:p>
    <w:p w14:paraId="12B8A7FA" w14:textId="77777777" w:rsidR="001B4265" w:rsidRPr="00552AC1" w:rsidRDefault="001B4265" w:rsidP="001B4265">
      <w:pPr>
        <w:ind w:firstLine="567"/>
        <w:jc w:val="both"/>
        <w:rPr>
          <w:sz w:val="28"/>
          <w:szCs w:val="28"/>
        </w:rPr>
      </w:pPr>
      <w:r w:rsidRPr="00552AC1">
        <w:rPr>
          <w:sz w:val="28"/>
          <w:szCs w:val="28"/>
        </w:rPr>
        <w:t>а) данные заявки были получены после даты или времени окончания срока их подачи;</w:t>
      </w:r>
    </w:p>
    <w:p w14:paraId="5110EEB2" w14:textId="77777777" w:rsidR="001B4265" w:rsidRPr="00552AC1" w:rsidRDefault="001B4265" w:rsidP="001B4265">
      <w:pPr>
        <w:ind w:firstLine="567"/>
        <w:jc w:val="both"/>
        <w:rPr>
          <w:sz w:val="28"/>
          <w:szCs w:val="28"/>
        </w:rPr>
      </w:pPr>
      <w:r w:rsidRPr="00552AC1">
        <w:rPr>
          <w:sz w:val="28"/>
          <w:szCs w:val="28"/>
        </w:rPr>
        <w:t>б) одним участником такого аукциона были поданы две и более заявки на участие в нем при условии, что поданные ранее заявки этим участником не были отозваны. В этом случае участнику возвращаются все заявки на участие в таком аукционе.</w:t>
      </w:r>
    </w:p>
    <w:p w14:paraId="11A20A71" w14:textId="3F727AED" w:rsidR="001B4265" w:rsidRPr="00552AC1" w:rsidRDefault="001B4265" w:rsidP="001B4265">
      <w:pPr>
        <w:ind w:firstLine="567"/>
        <w:jc w:val="both"/>
        <w:rPr>
          <w:sz w:val="28"/>
          <w:szCs w:val="28"/>
        </w:rPr>
      </w:pPr>
      <w:r w:rsidRPr="00552AC1">
        <w:rPr>
          <w:sz w:val="28"/>
          <w:szCs w:val="28"/>
        </w:rPr>
        <w:t>11. Участник открытого аукциона</w:t>
      </w:r>
      <w:r>
        <w:rPr>
          <w:sz w:val="28"/>
          <w:szCs w:val="28"/>
        </w:rPr>
        <w:t>,</w:t>
      </w:r>
      <w:r w:rsidRPr="00552AC1">
        <w:rPr>
          <w:sz w:val="28"/>
          <w:szCs w:val="28"/>
        </w:rPr>
        <w:t xml:space="preserve"> подавший заявку, вправе отозвать такую заявку в любое время до даты и времени начала рассмотрения заявок на участие в открытом аукционе.</w:t>
      </w:r>
    </w:p>
    <w:p w14:paraId="10775A7C" w14:textId="77777777" w:rsidR="001B4265" w:rsidRPr="00552AC1" w:rsidRDefault="001B4265" w:rsidP="001B4265">
      <w:pPr>
        <w:ind w:firstLine="567"/>
        <w:jc w:val="both"/>
        <w:rPr>
          <w:sz w:val="28"/>
          <w:szCs w:val="28"/>
        </w:rPr>
      </w:pPr>
    </w:p>
    <w:p w14:paraId="50C5A4CC" w14:textId="77777777" w:rsidR="00EC58DE" w:rsidRDefault="00EC58DE"/>
    <w:sectPr w:rsidR="00EC5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65"/>
    <w:rsid w:val="001B4265"/>
    <w:rsid w:val="00581E8D"/>
    <w:rsid w:val="008A5447"/>
    <w:rsid w:val="00EC5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3404"/>
  <w15:chartTrackingRefBased/>
  <w15:docId w15:val="{5A155256-15EF-4A07-A051-8E3D0B60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2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4"/>
    <w:link w:val="a5"/>
    <w:autoRedefine/>
    <w:qFormat/>
    <w:rsid w:val="00581E8D"/>
    <w:pPr>
      <w:widowControl w:val="0"/>
    </w:pPr>
    <w:rPr>
      <w:rFonts w:ascii="Times New Roman" w:eastAsia="Courier New" w:hAnsi="Times New Roman" w:cs="Courier New"/>
      <w:color w:val="000000"/>
    </w:rPr>
  </w:style>
  <w:style w:type="character" w:customStyle="1" w:styleId="a5">
    <w:name w:val="Мой Знак"/>
    <w:basedOn w:val="a0"/>
    <w:link w:val="a3"/>
    <w:rsid w:val="00581E8D"/>
    <w:rPr>
      <w:rFonts w:ascii="Times New Roman" w:eastAsia="Courier New" w:hAnsi="Times New Roman" w:cs="Courier New"/>
      <w:color w:val="000000"/>
    </w:rPr>
  </w:style>
  <w:style w:type="paragraph" w:styleId="a4">
    <w:name w:val="No Spacing"/>
    <w:uiPriority w:val="1"/>
    <w:qFormat/>
    <w:rsid w:val="00581E8D"/>
    <w:pPr>
      <w:spacing w:after="0" w:line="240" w:lineRule="auto"/>
    </w:pPr>
  </w:style>
  <w:style w:type="character" w:styleId="a6">
    <w:name w:val="Hyperlink"/>
    <w:rsid w:val="001B42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912</Words>
  <Characters>5205</Characters>
  <Application>Microsoft Office Word</Application>
  <DocSecurity>0</DocSecurity>
  <Lines>43</Lines>
  <Paragraphs>12</Paragraphs>
  <ScaleCrop>false</ScaleCrop>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2025-04-15T05:49:00Z</dcterms:created>
  <dcterms:modified xsi:type="dcterms:W3CDTF">2025-04-15T06:23:00Z</dcterms:modified>
</cp:coreProperties>
</file>